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8C9" w:rsidRDefault="00ED28C9">
      <w:pPr>
        <w:pStyle w:val="a3"/>
      </w:pPr>
      <w:r>
        <w:t xml:space="preserve">ПОЯСНИТЕЛЬНАЯ </w:t>
      </w:r>
      <w:r w:rsidR="00C46F86">
        <w:t xml:space="preserve">ИНФОРМАЦИЯ </w:t>
      </w:r>
      <w:r>
        <w:t xml:space="preserve">К </w:t>
      </w:r>
      <w:r w:rsidR="00054D95">
        <w:t>ПУБЛИКУЕМОЙ ОТЧЁТНОСТИ</w:t>
      </w:r>
    </w:p>
    <w:p w:rsidR="00ED28C9" w:rsidRDefault="00ED28C9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3E4305">
        <w:rPr>
          <w:b/>
          <w:sz w:val="24"/>
        </w:rPr>
        <w:t xml:space="preserve">ООО </w:t>
      </w:r>
      <w:r>
        <w:rPr>
          <w:b/>
          <w:sz w:val="24"/>
        </w:rPr>
        <w:t xml:space="preserve">КБ «ЛЭНД-БАНК» ПО СОСТОЯНИЮ НА 01 </w:t>
      </w:r>
      <w:r w:rsidR="00BE3DB7">
        <w:rPr>
          <w:b/>
          <w:sz w:val="24"/>
        </w:rPr>
        <w:t>апреля</w:t>
      </w:r>
      <w:r>
        <w:rPr>
          <w:b/>
          <w:sz w:val="24"/>
        </w:rPr>
        <w:t xml:space="preserve"> 20</w:t>
      </w:r>
      <w:r w:rsidR="00F239A6">
        <w:rPr>
          <w:b/>
          <w:sz w:val="24"/>
        </w:rPr>
        <w:t>1</w:t>
      </w:r>
      <w:r w:rsidR="00BE3DB7">
        <w:rPr>
          <w:b/>
          <w:sz w:val="24"/>
        </w:rPr>
        <w:t>9</w:t>
      </w:r>
      <w:r>
        <w:rPr>
          <w:b/>
          <w:sz w:val="24"/>
        </w:rPr>
        <w:t xml:space="preserve"> Г.</w:t>
      </w:r>
    </w:p>
    <w:p w:rsidR="00671BE0" w:rsidRDefault="00671BE0" w:rsidP="0054598F">
      <w:pPr>
        <w:ind w:firstLine="709"/>
        <w:jc w:val="both"/>
        <w:rPr>
          <w:sz w:val="24"/>
        </w:rPr>
      </w:pPr>
    </w:p>
    <w:p w:rsidR="00982FBD" w:rsidRDefault="00982FBD" w:rsidP="00117E4B">
      <w:pPr>
        <w:jc w:val="both"/>
        <w:rPr>
          <w:sz w:val="24"/>
        </w:rPr>
      </w:pPr>
    </w:p>
    <w:p w:rsidR="00A95E14" w:rsidRDefault="00A95E14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ООО </w:t>
      </w:r>
      <w:r w:rsidRPr="00054D95">
        <w:rPr>
          <w:sz w:val="24"/>
        </w:rPr>
        <w:t>КБ «Лэнд-Банк»</w:t>
      </w:r>
      <w:r w:rsidR="00632A8B">
        <w:rPr>
          <w:sz w:val="24"/>
        </w:rPr>
        <w:t xml:space="preserve"> (далее – Банк)</w:t>
      </w:r>
      <w:r w:rsidRPr="00FF1613">
        <w:rPr>
          <w:sz w:val="24"/>
        </w:rPr>
        <w:t xml:space="preserve"> </w:t>
      </w:r>
      <w:r>
        <w:rPr>
          <w:sz w:val="24"/>
          <w:szCs w:val="24"/>
        </w:rPr>
        <w:t>осуществляет свою деятельность на основании базовой</w:t>
      </w:r>
      <w:r w:rsidRPr="007313C1">
        <w:rPr>
          <w:sz w:val="24"/>
          <w:szCs w:val="24"/>
        </w:rPr>
        <w:t xml:space="preserve"> лицензи</w:t>
      </w:r>
      <w:r w:rsidR="00F2712A">
        <w:rPr>
          <w:sz w:val="24"/>
          <w:szCs w:val="24"/>
        </w:rPr>
        <w:t>и</w:t>
      </w:r>
      <w:r w:rsidRPr="007313C1">
        <w:rPr>
          <w:sz w:val="24"/>
          <w:szCs w:val="24"/>
        </w:rPr>
        <w:t xml:space="preserve"> на осуществление банковских операций со средствами в рублях (без права привлечения во вклады денежных средств физических лиц и привлечения во вклады и размещения драгоценных металлов) (Лицензия №1478, выдана Банком России 22 июня 2018 года)</w:t>
      </w:r>
      <w:r w:rsidRPr="00FF1613">
        <w:rPr>
          <w:sz w:val="24"/>
          <w:szCs w:val="24"/>
        </w:rPr>
        <w:t>.</w:t>
      </w:r>
    </w:p>
    <w:p w:rsidR="00632A8B" w:rsidRDefault="00632A8B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2A8B">
        <w:rPr>
          <w:sz w:val="24"/>
          <w:szCs w:val="24"/>
        </w:rPr>
        <w:t xml:space="preserve">Банк не участвует в системе обязательного страхования вкладов физических лиц  в банках РФ. </w:t>
      </w:r>
      <w:r w:rsidR="001C476C">
        <w:rPr>
          <w:sz w:val="24"/>
          <w:szCs w:val="24"/>
        </w:rPr>
        <w:t>Не имеет о</w:t>
      </w:r>
      <w:r w:rsidRPr="00632A8B">
        <w:rPr>
          <w:sz w:val="24"/>
          <w:szCs w:val="24"/>
        </w:rPr>
        <w:t xml:space="preserve">бособленных подразделений. </w:t>
      </w:r>
      <w:r w:rsidR="001C476C">
        <w:rPr>
          <w:sz w:val="24"/>
          <w:szCs w:val="24"/>
        </w:rPr>
        <w:t>Не состоит в</w:t>
      </w:r>
      <w:r w:rsidRPr="00632A8B">
        <w:rPr>
          <w:sz w:val="24"/>
          <w:szCs w:val="24"/>
        </w:rPr>
        <w:t xml:space="preserve"> банковской группе.</w:t>
      </w:r>
    </w:p>
    <w:p w:rsidR="00632A8B" w:rsidRDefault="00632A8B" w:rsidP="00632A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</w:rPr>
        <w:t>Банк у</w:t>
      </w:r>
      <w:r w:rsidRPr="00054D95">
        <w:rPr>
          <w:sz w:val="24"/>
        </w:rPr>
        <w:t xml:space="preserve">твердил </w:t>
      </w:r>
      <w:r>
        <w:rPr>
          <w:sz w:val="24"/>
        </w:rPr>
        <w:t xml:space="preserve">единую </w:t>
      </w:r>
      <w:r w:rsidRPr="00054D95">
        <w:rPr>
          <w:sz w:val="24"/>
        </w:rPr>
        <w:t>учетную политику на 201</w:t>
      </w:r>
      <w:r w:rsidR="00C02488">
        <w:rPr>
          <w:sz w:val="24"/>
        </w:rPr>
        <w:t>9</w:t>
      </w:r>
      <w:r w:rsidRPr="00054D95">
        <w:rPr>
          <w:sz w:val="24"/>
        </w:rPr>
        <w:t xml:space="preserve"> год в соответствии с </w:t>
      </w:r>
      <w:r>
        <w:rPr>
          <w:sz w:val="24"/>
        </w:rPr>
        <w:t>«</w:t>
      </w:r>
      <w:r w:rsidRPr="00054D95">
        <w:rPr>
          <w:sz w:val="24"/>
        </w:rPr>
        <w:t>Положением</w:t>
      </w:r>
      <w:r>
        <w:rPr>
          <w:sz w:val="24"/>
        </w:rPr>
        <w:t xml:space="preserve"> </w:t>
      </w:r>
      <w:r>
        <w:rPr>
          <w:sz w:val="24"/>
          <w:szCs w:val="24"/>
        </w:rPr>
        <w:t>о Плане счетов бухгалтерского учета для кредитных организаций и порядке его применения»</w:t>
      </w:r>
      <w:r w:rsidRPr="00054D95">
        <w:rPr>
          <w:sz w:val="24"/>
        </w:rPr>
        <w:t xml:space="preserve"> </w:t>
      </w:r>
      <w:r>
        <w:rPr>
          <w:sz w:val="24"/>
          <w:szCs w:val="24"/>
        </w:rPr>
        <w:t>утвержденным Банком России 27.02.2017 N 579-П.</w:t>
      </w:r>
    </w:p>
    <w:p w:rsidR="00A95E14" w:rsidRDefault="00A95E14" w:rsidP="00A95E14">
      <w:pPr>
        <w:autoSpaceDE w:val="0"/>
        <w:autoSpaceDN w:val="0"/>
        <w:adjustRightInd w:val="0"/>
        <w:jc w:val="both"/>
        <w:rPr>
          <w:sz w:val="24"/>
        </w:rPr>
      </w:pPr>
    </w:p>
    <w:p w:rsidR="004D022D" w:rsidRDefault="00187507" w:rsidP="004D02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54D95">
        <w:rPr>
          <w:sz w:val="24"/>
        </w:rPr>
        <w:t xml:space="preserve"> </w:t>
      </w:r>
      <w:r w:rsidR="00054D95" w:rsidRPr="00054D95">
        <w:rPr>
          <w:sz w:val="24"/>
        </w:rPr>
        <w:t xml:space="preserve">С даты составления годовой отчётности </w:t>
      </w:r>
      <w:r w:rsidR="0066219F">
        <w:rPr>
          <w:sz w:val="24"/>
        </w:rPr>
        <w:t>за 201</w:t>
      </w:r>
      <w:r w:rsidR="00BE3DB7">
        <w:rPr>
          <w:sz w:val="24"/>
        </w:rPr>
        <w:t>8</w:t>
      </w:r>
      <w:r w:rsidR="0066219F">
        <w:rPr>
          <w:sz w:val="24"/>
        </w:rPr>
        <w:t xml:space="preserve"> год </w:t>
      </w:r>
      <w:r w:rsidR="00054D95" w:rsidRPr="00054D95">
        <w:rPr>
          <w:sz w:val="24"/>
        </w:rPr>
        <w:t>не произошло событий и операций, которые являются существенными для понимания изменений в финансовом положении и результатах деятельност</w:t>
      </w:r>
      <w:proofErr w:type="gramStart"/>
      <w:r w:rsidR="00054D95" w:rsidRPr="00054D95">
        <w:rPr>
          <w:sz w:val="24"/>
        </w:rPr>
        <w:t xml:space="preserve">и </w:t>
      </w:r>
      <w:r w:rsidR="006C4761">
        <w:rPr>
          <w:sz w:val="24"/>
        </w:rPr>
        <w:t>ООО</w:t>
      </w:r>
      <w:proofErr w:type="gramEnd"/>
      <w:r w:rsidR="006C4761">
        <w:rPr>
          <w:sz w:val="24"/>
        </w:rPr>
        <w:t xml:space="preserve"> КБ «Лэнд-Банк»</w:t>
      </w:r>
      <w:r w:rsidR="00054D95" w:rsidRPr="00054D95">
        <w:rPr>
          <w:sz w:val="24"/>
        </w:rPr>
        <w:t>.</w:t>
      </w:r>
      <w:r w:rsidR="004D022D">
        <w:rPr>
          <w:sz w:val="24"/>
        </w:rPr>
        <w:t xml:space="preserve"> О</w:t>
      </w:r>
      <w:r w:rsidR="004D022D">
        <w:rPr>
          <w:sz w:val="24"/>
          <w:szCs w:val="24"/>
        </w:rPr>
        <w:t>пераций или событий, оказывающих влияние на активы, обязательства, собственный капитал, чистый доход или денежные потоки и являющихся необычными по своему характеру, размеру или частоте не происходило. В</w:t>
      </w:r>
      <w:r w:rsidR="004D022D" w:rsidRPr="004D022D">
        <w:rPr>
          <w:sz w:val="24"/>
          <w:szCs w:val="24"/>
        </w:rPr>
        <w:t xml:space="preserve"> </w:t>
      </w:r>
      <w:r w:rsidR="004D022D">
        <w:rPr>
          <w:sz w:val="24"/>
          <w:szCs w:val="24"/>
        </w:rPr>
        <w:t>настоящей</w:t>
      </w:r>
      <w:r w:rsidR="004D022D" w:rsidRPr="004D022D">
        <w:rPr>
          <w:sz w:val="24"/>
          <w:szCs w:val="24"/>
        </w:rPr>
        <w:t xml:space="preserve"> отчетности применяются те же принципы учетной политики и методы расчета, что и в последней годовой отчетности</w:t>
      </w:r>
      <w:r w:rsidR="004D022D">
        <w:rPr>
          <w:sz w:val="24"/>
          <w:szCs w:val="24"/>
        </w:rPr>
        <w:t>.</w:t>
      </w:r>
    </w:p>
    <w:p w:rsidR="00EB6C2B" w:rsidRDefault="00EB6C2B" w:rsidP="004D02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EB6C2B">
        <w:rPr>
          <w:sz w:val="24"/>
          <w:szCs w:val="24"/>
        </w:rPr>
        <w:t>осле окончания промежуточного отчетного периода</w:t>
      </w:r>
      <w:r>
        <w:rPr>
          <w:sz w:val="24"/>
          <w:szCs w:val="24"/>
        </w:rPr>
        <w:t xml:space="preserve"> не происходило событий,  </w:t>
      </w:r>
      <w:r w:rsidRPr="00EB6C2B">
        <w:rPr>
          <w:sz w:val="24"/>
          <w:szCs w:val="24"/>
        </w:rPr>
        <w:t>не наш</w:t>
      </w:r>
      <w:r>
        <w:rPr>
          <w:sz w:val="24"/>
          <w:szCs w:val="24"/>
        </w:rPr>
        <w:t>едших</w:t>
      </w:r>
      <w:r w:rsidRPr="00EB6C2B">
        <w:rPr>
          <w:sz w:val="24"/>
          <w:szCs w:val="24"/>
        </w:rPr>
        <w:t xml:space="preserve"> отражения в промежуточной отчетности.</w:t>
      </w:r>
    </w:p>
    <w:p w:rsidR="004D022D" w:rsidRPr="004D022D" w:rsidRDefault="004D022D" w:rsidP="00A95E1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022D" w:rsidRDefault="004D022D" w:rsidP="004D022D">
      <w:pPr>
        <w:jc w:val="both"/>
        <w:rPr>
          <w:sz w:val="24"/>
        </w:rPr>
      </w:pPr>
    </w:p>
    <w:p w:rsidR="006C4761" w:rsidRDefault="006C4761" w:rsidP="0054598F">
      <w:pPr>
        <w:ind w:firstLine="709"/>
        <w:jc w:val="both"/>
        <w:rPr>
          <w:sz w:val="24"/>
        </w:rPr>
      </w:pPr>
      <w:r>
        <w:rPr>
          <w:sz w:val="24"/>
        </w:rPr>
        <w:t>В отчётном периоде Банком выполнялись требования к капиталу, в частности фактические значения нормативов Н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.2, Н1.0 превышали нормативные </w:t>
      </w:r>
      <w:r w:rsidR="00881425">
        <w:rPr>
          <w:sz w:val="24"/>
        </w:rPr>
        <w:t xml:space="preserve">более чем </w:t>
      </w:r>
      <w:r w:rsidR="002A5E9A">
        <w:rPr>
          <w:sz w:val="24"/>
        </w:rPr>
        <w:t>на 600 процентов.</w:t>
      </w:r>
    </w:p>
    <w:p w:rsidR="002A5E9A" w:rsidRDefault="002A5E9A" w:rsidP="0054598F">
      <w:pPr>
        <w:ind w:firstLine="709"/>
        <w:jc w:val="both"/>
        <w:rPr>
          <w:sz w:val="24"/>
        </w:rPr>
      </w:pPr>
      <w:r>
        <w:rPr>
          <w:sz w:val="24"/>
        </w:rPr>
        <w:t>Расходы на создание резервов на возможные потери составили:</w:t>
      </w:r>
    </w:p>
    <w:p w:rsidR="002A5E9A" w:rsidRDefault="008C4CBD" w:rsidP="002A5E9A">
      <w:pPr>
        <w:numPr>
          <w:ilvl w:val="0"/>
          <w:numId w:val="10"/>
        </w:numPr>
        <w:jc w:val="both"/>
        <w:rPr>
          <w:sz w:val="24"/>
        </w:rPr>
      </w:pPr>
      <w:r>
        <w:rPr>
          <w:sz w:val="24"/>
        </w:rPr>
        <w:t xml:space="preserve">По ссудной задолженности – </w:t>
      </w:r>
      <w:r w:rsidR="00FD1F74">
        <w:rPr>
          <w:sz w:val="24"/>
        </w:rPr>
        <w:t>16</w:t>
      </w:r>
      <w:r w:rsidR="001222F1">
        <w:rPr>
          <w:sz w:val="24"/>
        </w:rPr>
        <w:t xml:space="preserve"> </w:t>
      </w:r>
      <w:r w:rsidR="00FD1F74">
        <w:rPr>
          <w:sz w:val="24"/>
        </w:rPr>
        <w:t>057</w:t>
      </w:r>
      <w:r w:rsidR="002A5E9A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="002A5E9A">
        <w:rPr>
          <w:sz w:val="24"/>
        </w:rPr>
        <w:t>руб.</w:t>
      </w:r>
    </w:p>
    <w:p w:rsidR="002A5E9A" w:rsidRPr="00052E60" w:rsidRDefault="002A5E9A" w:rsidP="002A5E9A">
      <w:pPr>
        <w:numPr>
          <w:ilvl w:val="0"/>
          <w:numId w:val="10"/>
        </w:numPr>
        <w:jc w:val="both"/>
        <w:rPr>
          <w:sz w:val="24"/>
        </w:rPr>
      </w:pPr>
      <w:r w:rsidRPr="00052E60">
        <w:rPr>
          <w:sz w:val="24"/>
        </w:rPr>
        <w:t xml:space="preserve">По начисленным % по ссудам – </w:t>
      </w:r>
      <w:r w:rsidR="00FD1F74">
        <w:rPr>
          <w:sz w:val="24"/>
        </w:rPr>
        <w:t>14 339</w:t>
      </w:r>
      <w:r w:rsidRPr="00052E60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Pr="00052E60">
        <w:rPr>
          <w:sz w:val="24"/>
        </w:rPr>
        <w:t>руб.</w:t>
      </w:r>
    </w:p>
    <w:p w:rsidR="00903850" w:rsidRDefault="00903850" w:rsidP="00903850">
      <w:pPr>
        <w:ind w:firstLine="709"/>
        <w:jc w:val="both"/>
        <w:rPr>
          <w:sz w:val="24"/>
        </w:rPr>
      </w:pPr>
      <w:r>
        <w:rPr>
          <w:sz w:val="24"/>
        </w:rPr>
        <w:t>Доходы от восстановления резервов на возможные потери составили:</w:t>
      </w:r>
    </w:p>
    <w:p w:rsidR="00903850" w:rsidRDefault="00903850" w:rsidP="00903850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По ссудной задолженности – </w:t>
      </w:r>
      <w:r w:rsidR="00FD1F74">
        <w:rPr>
          <w:sz w:val="24"/>
        </w:rPr>
        <w:t>16</w:t>
      </w:r>
      <w:r w:rsidR="003A4E45">
        <w:rPr>
          <w:sz w:val="24"/>
        </w:rPr>
        <w:t xml:space="preserve"> </w:t>
      </w:r>
      <w:r w:rsidR="00FD1F74">
        <w:rPr>
          <w:sz w:val="24"/>
        </w:rPr>
        <w:t>405</w:t>
      </w:r>
      <w:r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>
        <w:rPr>
          <w:sz w:val="24"/>
        </w:rPr>
        <w:t>руб.</w:t>
      </w:r>
    </w:p>
    <w:p w:rsidR="00903850" w:rsidRDefault="00963094" w:rsidP="00903850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По начисленным % по ссудам – </w:t>
      </w:r>
      <w:r w:rsidR="00FD1F74">
        <w:rPr>
          <w:sz w:val="24"/>
        </w:rPr>
        <w:t>1 491</w:t>
      </w:r>
      <w:r w:rsidR="00903850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="00903850">
        <w:rPr>
          <w:sz w:val="24"/>
        </w:rPr>
        <w:t>руб.</w:t>
      </w:r>
    </w:p>
    <w:p w:rsidR="001A6A82" w:rsidRDefault="001A6A82" w:rsidP="001A6A82">
      <w:pPr>
        <w:jc w:val="both"/>
        <w:rPr>
          <w:sz w:val="24"/>
        </w:rPr>
      </w:pPr>
    </w:p>
    <w:p w:rsidR="001A6A82" w:rsidRDefault="001A6A82" w:rsidP="001A6A82">
      <w:pPr>
        <w:jc w:val="both"/>
        <w:rPr>
          <w:sz w:val="24"/>
        </w:rPr>
      </w:pPr>
    </w:p>
    <w:p w:rsidR="004D022D" w:rsidRDefault="004D022D" w:rsidP="001A6A82">
      <w:pPr>
        <w:jc w:val="both"/>
        <w:rPr>
          <w:sz w:val="24"/>
        </w:rPr>
      </w:pPr>
    </w:p>
    <w:p w:rsidR="00D61539" w:rsidRPr="00D61539" w:rsidRDefault="00D61539" w:rsidP="00D61539">
      <w:pPr>
        <w:ind w:firstLine="709"/>
        <w:jc w:val="both"/>
      </w:pPr>
    </w:p>
    <w:p w:rsidR="00D61539" w:rsidRPr="004D022D" w:rsidRDefault="00D61539" w:rsidP="00D61539">
      <w:pPr>
        <w:jc w:val="both"/>
        <w:rPr>
          <w:b/>
          <w:sz w:val="26"/>
          <w:szCs w:val="26"/>
        </w:rPr>
      </w:pPr>
      <w:r w:rsidRPr="004D022D">
        <w:rPr>
          <w:b/>
          <w:sz w:val="26"/>
          <w:szCs w:val="26"/>
        </w:rPr>
        <w:t>Краткий обзор направлений (степени) концентрации рисков, связанных  с различными банковскими операциями, характерными для ООО КБ «Лэнд-Банк»</w:t>
      </w:r>
    </w:p>
    <w:p w:rsidR="00D61539" w:rsidRPr="00D61539" w:rsidRDefault="00D61539" w:rsidP="00D61539">
      <w:pPr>
        <w:keepNext/>
        <w:spacing w:before="240" w:after="60"/>
        <w:ind w:firstLine="567"/>
        <w:jc w:val="center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  <w:r w:rsidRPr="00D61539">
        <w:rPr>
          <w:rFonts w:ascii="Cambria" w:hAnsi="Cambria"/>
          <w:b/>
          <w:bCs/>
          <w:sz w:val="26"/>
          <w:szCs w:val="26"/>
          <w:lang w:eastAsia="en-US"/>
        </w:rPr>
        <w:t>Кредитный риск</w:t>
      </w:r>
    </w:p>
    <w:p w:rsidR="00D61539" w:rsidRPr="00D61539" w:rsidRDefault="00D61539" w:rsidP="00D61539"/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Банк принимает на себя кредитный риск, а именно риск того, что контрагент не сможет полностью погасить задолженность в установленный срок. Банк контролирует кредитный риск, устанавливая лимиты на одного заемщика или группы связанных заемщиков, а также по географическим и отраслевым сегментам. Банк осуществляет регулярный мониторинг таких рисков; лимиты пересматриваются ежеквартально. Лимиты кредитного риска по продуктам, заемщикам и отраслям утверждаются Председателем Правления  Банка.</w:t>
      </w:r>
    </w:p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lastRenderedPageBreak/>
        <w:t>Риск на одного заемщика, включая банки, брокерские компании, прочих дебиторов, дополнительно ограничивается лимитами, покрывающими балансовые и внебалансовые риски, а также внутридневными лимитами риска поставок в отношении торговых инструментов. Фактическое соблюдение лимитов в отношении уровня принимаемого риска контролируется на ежедневной основе.</w:t>
      </w:r>
    </w:p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Управление кредитным риском осуществляется посредством регулярного анализа способности существующих и потенциальных заемщиков погасить процентные платежи и основную сумму задолженности, а также посредством изменения кредитных лимитов в случае необходимости. Кроме этого, Банк управляет кредитным риском, в частности, путем обеспечения обязательств заемщиков, путем получения залога и поручительств компаний и физических лиц.</w:t>
      </w:r>
    </w:p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 xml:space="preserve">Кредитный риск по внебалансовым финансовым инструментам определяется, как вероятность убытков из-за неспособности другого участника операции с данным финансовым инструментом выполнить условия договора. Банк применяет ту же кредитную политику в отношении условных обязательств, что и в отношении балансовых финансовых инструментов, основанную на процедурах утверждения сделок, использования лимитов, ограничивающих риск, и мониторинга. </w:t>
      </w:r>
    </w:p>
    <w:p w:rsidR="00D61539" w:rsidRPr="004D022D" w:rsidRDefault="00D6153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 xml:space="preserve">Основные кредитные риски Банка сосредоточены в следующих отраслях: </w:t>
      </w:r>
      <w:r w:rsidRPr="004D022D">
        <w:rPr>
          <w:i/>
          <w:sz w:val="24"/>
          <w:szCs w:val="24"/>
        </w:rPr>
        <w:t>торговле, строительстве  и оказании услуг</w:t>
      </w:r>
      <w:r w:rsidRPr="004D022D">
        <w:rPr>
          <w:sz w:val="24"/>
          <w:szCs w:val="24"/>
        </w:rPr>
        <w:t xml:space="preserve">. Следует отметить, большая концентрация отраслевого риска в </w:t>
      </w:r>
      <w:r w:rsidRPr="004D022D">
        <w:rPr>
          <w:i/>
          <w:sz w:val="24"/>
          <w:szCs w:val="24"/>
        </w:rPr>
        <w:t>сфере торговли</w:t>
      </w:r>
      <w:r w:rsidRPr="004D022D">
        <w:rPr>
          <w:sz w:val="24"/>
          <w:szCs w:val="24"/>
        </w:rPr>
        <w:t xml:space="preserve"> является довольной типичной. Кредитование компаний, осуществляющих инвестирование строительства и застройку</w:t>
      </w:r>
      <w:r w:rsidR="00DF5700">
        <w:rPr>
          <w:sz w:val="24"/>
          <w:szCs w:val="24"/>
        </w:rPr>
        <w:t>,</w:t>
      </w:r>
      <w:r w:rsidRPr="004D022D">
        <w:rPr>
          <w:sz w:val="24"/>
          <w:szCs w:val="24"/>
        </w:rPr>
        <w:t xml:space="preserve"> несет в себе повышенные риски. В 201</w:t>
      </w:r>
      <w:r w:rsidR="00F2712A">
        <w:rPr>
          <w:sz w:val="24"/>
          <w:szCs w:val="24"/>
        </w:rPr>
        <w:t>9</w:t>
      </w:r>
      <w:r w:rsidRPr="004D022D">
        <w:rPr>
          <w:sz w:val="24"/>
          <w:szCs w:val="24"/>
        </w:rPr>
        <w:t xml:space="preserve"> году кредитование компаний, принадлежащим к данн</w:t>
      </w:r>
      <w:r w:rsidR="00DF5700">
        <w:rPr>
          <w:sz w:val="24"/>
          <w:szCs w:val="24"/>
        </w:rPr>
        <w:t>ой</w:t>
      </w:r>
      <w:r w:rsidRPr="004D022D">
        <w:rPr>
          <w:sz w:val="24"/>
          <w:szCs w:val="24"/>
        </w:rPr>
        <w:t xml:space="preserve"> отрасл</w:t>
      </w:r>
      <w:r w:rsidR="00DF5700">
        <w:rPr>
          <w:sz w:val="24"/>
          <w:szCs w:val="24"/>
        </w:rPr>
        <w:t>и</w:t>
      </w:r>
      <w:r w:rsidRPr="004D022D">
        <w:rPr>
          <w:sz w:val="24"/>
          <w:szCs w:val="24"/>
        </w:rPr>
        <w:t xml:space="preserve"> Банком не осуществлялось.</w:t>
      </w:r>
    </w:p>
    <w:p w:rsidR="00D61539" w:rsidRPr="00D61539" w:rsidRDefault="00D61539" w:rsidP="00D61539">
      <w:pPr>
        <w:keepNext/>
        <w:spacing w:before="240" w:after="60"/>
        <w:ind w:firstLine="567"/>
        <w:jc w:val="center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  <w:r w:rsidRPr="00D61539">
        <w:rPr>
          <w:rFonts w:ascii="Cambria" w:hAnsi="Cambria"/>
          <w:b/>
          <w:bCs/>
          <w:sz w:val="26"/>
          <w:szCs w:val="26"/>
          <w:lang w:eastAsia="en-US"/>
        </w:rPr>
        <w:t>Риск ликвидности</w:t>
      </w:r>
    </w:p>
    <w:p w:rsidR="00D61539" w:rsidRPr="00D61539" w:rsidRDefault="00D61539" w:rsidP="00D61539">
      <w:pPr>
        <w:ind w:left="720" w:firstLine="567"/>
        <w:contextualSpacing/>
        <w:jc w:val="both"/>
        <w:rPr>
          <w:szCs w:val="24"/>
          <w:lang w:eastAsia="en-US"/>
        </w:rPr>
      </w:pPr>
    </w:p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Управление риском ликвидности является составной частью процесса управления активами и пассивами Банка. Риск ликвидности возникает в результате несбалансированности финансовых активов и обязательств (в том числе вследствие несвоевременного исполнения обязательств контрагентами кредитной организации и/или возникновения непредвиденной необходимости немедленного и единовременного исполнения Банком своих обязательств).</w:t>
      </w:r>
    </w:p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Управление риском ликвидности в Банке осуществляется в соответствии с положениями, определенными в Инструкции № 180-И и с учетом рекомендаций, изложенных в Письме Банка России от 27.07.2000г. № 139-Т «О рекомендациях по анализу ликвидности кредитных организаций». Собранием Совета директоров и Председателем Правления Банка 20 января 2017 г.  утверждена «Политика контроля и управления состоянием ликвидности в ООО КБ «Лэнд-Банк».</w:t>
      </w:r>
    </w:p>
    <w:p w:rsidR="00813319" w:rsidRPr="004D022D" w:rsidRDefault="00813319" w:rsidP="0081331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Контроль осуществляется сотрудниками и руководителями всех подразделений, решения которых влияют на состояние ликвидности.</w:t>
      </w:r>
    </w:p>
    <w:p w:rsidR="00D61539" w:rsidRPr="004D022D" w:rsidRDefault="00813319" w:rsidP="00813319">
      <w:pPr>
        <w:ind w:firstLine="709"/>
        <w:jc w:val="both"/>
        <w:rPr>
          <w:i/>
          <w:sz w:val="24"/>
          <w:szCs w:val="24"/>
        </w:rPr>
      </w:pPr>
      <w:r w:rsidRPr="004D022D">
        <w:rPr>
          <w:sz w:val="24"/>
          <w:szCs w:val="24"/>
        </w:rPr>
        <w:t>Банк использу</w:t>
      </w:r>
      <w:r w:rsidR="000846E6">
        <w:rPr>
          <w:sz w:val="24"/>
          <w:szCs w:val="24"/>
        </w:rPr>
        <w:t>е</w:t>
      </w:r>
      <w:r w:rsidRPr="004D022D">
        <w:rPr>
          <w:sz w:val="24"/>
          <w:szCs w:val="24"/>
        </w:rPr>
        <w:t>т нормативный подход для анализа и оценки риска потери ликвидности, основанный расчете прогнозируемых и фактических значений норматив</w:t>
      </w:r>
      <w:r w:rsidR="000846E6">
        <w:rPr>
          <w:sz w:val="24"/>
          <w:szCs w:val="24"/>
        </w:rPr>
        <w:t xml:space="preserve">а </w:t>
      </w:r>
      <w:r w:rsidRPr="004D022D">
        <w:rPr>
          <w:sz w:val="24"/>
          <w:szCs w:val="24"/>
        </w:rPr>
        <w:t>Н3. В течение проверяемого периода Банком не допускалось нарушений предельно допустимых значений нормативов.</w:t>
      </w:r>
    </w:p>
    <w:p w:rsidR="00D61539" w:rsidRPr="004D022D" w:rsidRDefault="00D61539" w:rsidP="00D61539">
      <w:pPr>
        <w:ind w:firstLine="709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Помимо нормативного подхода в Банке осуществляется прогнозирование краткосрочных и долгосрочных потоков денежных средств. На основании долгосрочных прогнозов ликвидности Отделом управления рисками принимаются решения о распределении обязательств по временным диапазонам. На основании краткосрочных прогнозов определяется потребность в денежных средствах на корреспондентских счетах и в кассе для исполнения текущих обязательств.</w:t>
      </w:r>
    </w:p>
    <w:p w:rsidR="00D61539" w:rsidRPr="00D61539" w:rsidRDefault="00D61539" w:rsidP="00D61539">
      <w:pPr>
        <w:keepNext/>
        <w:spacing w:before="240" w:after="60"/>
        <w:ind w:firstLine="567"/>
        <w:jc w:val="center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  <w:r w:rsidRPr="00D61539">
        <w:rPr>
          <w:rFonts w:ascii="Cambria" w:hAnsi="Cambria"/>
          <w:b/>
          <w:bCs/>
          <w:sz w:val="26"/>
          <w:szCs w:val="26"/>
          <w:lang w:eastAsia="en-US"/>
        </w:rPr>
        <w:t>Рыночный риск</w:t>
      </w:r>
    </w:p>
    <w:p w:rsidR="00D61539" w:rsidRPr="00D61539" w:rsidRDefault="00D61539" w:rsidP="00D61539"/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lastRenderedPageBreak/>
        <w:t xml:space="preserve">Управление рыночным риском включает в себя идентификацию рыночного риска, состоящего из анализа установленных ценовых ограничений, структуры портфеля ценных бумаг и ценового изменения портфеля по цене закрытия относительно цены покупки в сравнении со </w:t>
      </w:r>
      <w:proofErr w:type="gramStart"/>
      <w:r w:rsidRPr="004D022D">
        <w:rPr>
          <w:sz w:val="24"/>
          <w:szCs w:val="24"/>
        </w:rPr>
        <w:t>стоп-ценой</w:t>
      </w:r>
      <w:proofErr w:type="gramEnd"/>
      <w:r w:rsidRPr="004D022D">
        <w:rPr>
          <w:sz w:val="24"/>
          <w:szCs w:val="24"/>
        </w:rPr>
        <w:t>, ежедневного анализа состояния открытых валютных позиций, анализа динамики открытых валютных позиций, анализа динами размера рыночного риска.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Банк принимает на себя риск, связанный с влиянием колебаний рыночных процентных ставок на его финансовое положение и потоки денежных средств. Такие колебания могут повышать уровень процентной маржи, однако в случае неожиданного изменения процентных ставок процентная маржа может также снижаться или вызывать убытки.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Банк подвержен процентному риску, в первую очередь, в результате своей деятельности по предоставлению кредитов по фиксированным процентным ставкам в суммах и на сроки, отличающиеся от сумм и сроков привлечения средств под фиксированные процентные ставки. На практике процентные ставки, как правило, устанавливаются на короткий срок. Кроме того, процентные ставки, зафиксированные в условиях договоров, как по активам, так и по обязательствам, нередко пересматриваются на основе взаимной договоренности в соответствии с текущей рыночной ситуацией.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 xml:space="preserve">Банком осуществляется </w:t>
      </w:r>
      <w:proofErr w:type="gramStart"/>
      <w:r w:rsidRPr="004D022D">
        <w:rPr>
          <w:sz w:val="24"/>
          <w:szCs w:val="24"/>
        </w:rPr>
        <w:t>контроль за</w:t>
      </w:r>
      <w:proofErr w:type="gramEnd"/>
      <w:r w:rsidRPr="004D022D">
        <w:rPr>
          <w:sz w:val="24"/>
          <w:szCs w:val="24"/>
        </w:rPr>
        <w:t xml:space="preserve"> установленными лимитами, а также анализ структуры активов и пассивов по срокам до погашения и процентным ставкам.  По мере необходимости Отделом управления рисками осуществляется пересмотр процентных ставок по привлечению/размещению ресурсов. Банк осуществляет мониторинг и анализ динамика процентной маржи, в случае необходимости Отделом управления рисками проводятся мероприятия по стабилизации уровня процентного риска.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Риск процентной ставки нивелируется следующим: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- договоры на привлечение и размещение денежных средств не предполагают условий об изменении процентных ставок в зависимости от изменения таковых на рынке;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- существенная часть ресурсной базы привлечена на срок «до востребования» и является бесплатной для Банка;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>- периодичность пересмотра процентных ставок, принятая в Банке.</w:t>
      </w:r>
    </w:p>
    <w:p w:rsidR="00813319" w:rsidRPr="004D022D" w:rsidRDefault="00813319" w:rsidP="00813319">
      <w:pPr>
        <w:ind w:firstLine="567"/>
        <w:jc w:val="both"/>
        <w:rPr>
          <w:sz w:val="24"/>
          <w:szCs w:val="24"/>
        </w:rPr>
      </w:pPr>
      <w:r w:rsidRPr="004D022D">
        <w:rPr>
          <w:sz w:val="24"/>
          <w:szCs w:val="24"/>
        </w:rPr>
        <w:t xml:space="preserve">Совокупный уровень рыночного риска рассчитывается Отделом управления рисками. </w:t>
      </w:r>
    </w:p>
    <w:p w:rsidR="00813319" w:rsidRDefault="00813319" w:rsidP="00813319">
      <w:pPr>
        <w:pStyle w:val="10"/>
        <w:ind w:left="0"/>
      </w:pPr>
      <w:r w:rsidRPr="004D022D">
        <w:t>Основными задачами системы мониторинга рыночного риска является достаточно быстрое реагирование подразделений Банка, участвующих в сделках по финансовым инструментам, на внешние и внутренние изменения и колебания финансовых рынков с целью минимизации потерь на этих рынках и максимизации доходности от операций с финансовыми инструментами при сохранении установленного уровня риска.</w:t>
      </w:r>
    </w:p>
    <w:p w:rsidR="004D022D" w:rsidRPr="004D022D" w:rsidRDefault="004D022D" w:rsidP="00813319">
      <w:pPr>
        <w:pStyle w:val="10"/>
        <w:ind w:left="0"/>
      </w:pPr>
    </w:p>
    <w:p w:rsidR="00D61539" w:rsidRPr="00D61539" w:rsidRDefault="00D61539" w:rsidP="00D61539">
      <w:pPr>
        <w:keepNext/>
        <w:jc w:val="center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  <w:r w:rsidRPr="00D61539">
        <w:rPr>
          <w:rFonts w:ascii="Cambria" w:hAnsi="Cambria"/>
          <w:b/>
          <w:bCs/>
          <w:sz w:val="26"/>
          <w:szCs w:val="26"/>
          <w:lang w:eastAsia="en-US"/>
        </w:rPr>
        <w:t>Операционный риск</w:t>
      </w:r>
    </w:p>
    <w:p w:rsidR="00D61539" w:rsidRPr="00D61539" w:rsidRDefault="00D61539" w:rsidP="00D61539"/>
    <w:p w:rsidR="00D0715A" w:rsidRPr="004D022D" w:rsidRDefault="00D0715A" w:rsidP="00D0715A">
      <w:pPr>
        <w:pStyle w:val="10"/>
        <w:ind w:left="0"/>
      </w:pPr>
      <w:proofErr w:type="gramStart"/>
      <w:r w:rsidRPr="004D022D">
        <w:t>Операционный риск – это риск возникновения убытков в результате несоответствия характеру и масштабам деятельности Банка и (или) требованиям действующего законодательства внутренних порядков и процедур проведения банковских операций и других сделок, их нарушения служащими Банка и (или) иными лицами (вследствие некомпетентности, непреднамеренных или умышленных действий или бездействия), несоразмерности (недостаточности) функциональных возможностей (характеристик) применяемых Банком информационных, технологических и других систем и (или) их</w:t>
      </w:r>
      <w:proofErr w:type="gramEnd"/>
      <w:r w:rsidRPr="004D022D">
        <w:t xml:space="preserve"> отказов (нарушений функционирования), а также в результате воздействия внешних событий. </w:t>
      </w:r>
    </w:p>
    <w:p w:rsidR="00D0715A" w:rsidRPr="004D022D" w:rsidRDefault="00D0715A" w:rsidP="00D0715A">
      <w:pPr>
        <w:pStyle w:val="10"/>
        <w:ind w:left="0"/>
      </w:pPr>
      <w:r w:rsidRPr="004D022D">
        <w:lastRenderedPageBreak/>
        <w:t xml:space="preserve">Банк управляет операционным риском в целях обеспечения надлежащего соблюдения внутренних регламентов и процедур в целях минимизации операционного риска. </w:t>
      </w:r>
    </w:p>
    <w:p w:rsidR="00D0715A" w:rsidRPr="004D022D" w:rsidRDefault="00D0715A" w:rsidP="00D0715A">
      <w:pPr>
        <w:pStyle w:val="10"/>
        <w:ind w:left="0"/>
      </w:pPr>
      <w:r w:rsidRPr="004D022D">
        <w:t>Основными мероприятиями, предпринимаемыми Банком в целях снижения операционных рисков:</w:t>
      </w:r>
    </w:p>
    <w:p w:rsidR="00D0715A" w:rsidRPr="004D022D" w:rsidRDefault="00D0715A" w:rsidP="00D0715A">
      <w:pPr>
        <w:pStyle w:val="10"/>
        <w:ind w:left="0"/>
      </w:pPr>
      <w:r w:rsidRPr="004D022D">
        <w:t>- четкая регламентация бизнес-процессов;</w:t>
      </w:r>
    </w:p>
    <w:p w:rsidR="00D0715A" w:rsidRPr="004D022D" w:rsidRDefault="00D0715A" w:rsidP="00D0715A">
      <w:pPr>
        <w:pStyle w:val="10"/>
        <w:ind w:left="0"/>
      </w:pPr>
      <w:r w:rsidRPr="004D022D">
        <w:t>- тщательная проработка и предварительное тестирование новых банковских продуктов, внедрение новых моделей на ограниченном круге операций/объемов средств;</w:t>
      </w:r>
    </w:p>
    <w:p w:rsidR="00D0715A" w:rsidRPr="004D022D" w:rsidRDefault="00D0715A" w:rsidP="00D0715A">
      <w:pPr>
        <w:pStyle w:val="10"/>
        <w:ind w:left="0"/>
      </w:pPr>
      <w:r w:rsidRPr="004D022D">
        <w:t>- повышение квалификации персонала;</w:t>
      </w:r>
    </w:p>
    <w:p w:rsidR="00D0715A" w:rsidRPr="004D022D" w:rsidRDefault="00D0715A" w:rsidP="00D0715A">
      <w:pPr>
        <w:pStyle w:val="10"/>
        <w:ind w:left="0"/>
      </w:pPr>
      <w:r w:rsidRPr="004D022D">
        <w:t>- ограничение полномочий должностных лиц.</w:t>
      </w:r>
    </w:p>
    <w:p w:rsidR="00D0715A" w:rsidRPr="004D022D" w:rsidRDefault="00D0715A" w:rsidP="00D0715A">
      <w:pPr>
        <w:pStyle w:val="10"/>
        <w:ind w:left="0"/>
      </w:pPr>
      <w:r w:rsidRPr="004D022D">
        <w:t xml:space="preserve">В целях снижения операционного риска Банк организует и устанавливает процедуры внутреннего </w:t>
      </w:r>
      <w:proofErr w:type="gramStart"/>
      <w:r w:rsidRPr="004D022D">
        <w:t>контроля за</w:t>
      </w:r>
      <w:proofErr w:type="gramEnd"/>
      <w:r w:rsidRPr="004D022D">
        <w:t xml:space="preserve"> проведением операций в подразделениях Банка. Система контроля предусматривает эффективное разделение обязанностей, права доступа, процедуры оценки, включая внутренний аудит.</w:t>
      </w:r>
    </w:p>
    <w:p w:rsidR="00D0715A" w:rsidRPr="004D022D" w:rsidRDefault="00D0715A" w:rsidP="00D0715A">
      <w:pPr>
        <w:pStyle w:val="10"/>
        <w:ind w:left="0"/>
        <w:rPr>
          <w:highlight w:val="yellow"/>
        </w:rPr>
      </w:pPr>
      <w:r w:rsidRPr="004D022D">
        <w:t xml:space="preserve">Размер операционного риска, рассчитанный в соответствии с порядком, определенным Положением Банка России от </w:t>
      </w:r>
      <w:r w:rsidR="00F963E9">
        <w:t>03</w:t>
      </w:r>
      <w:r w:rsidRPr="004D022D">
        <w:t>.</w:t>
      </w:r>
      <w:r w:rsidR="00F963E9">
        <w:t>09</w:t>
      </w:r>
      <w:r w:rsidRPr="004D022D">
        <w:t>.20</w:t>
      </w:r>
      <w:r w:rsidR="00F963E9">
        <w:t>18</w:t>
      </w:r>
      <w:r w:rsidRPr="004D022D">
        <w:t xml:space="preserve">г. № </w:t>
      </w:r>
      <w:r w:rsidR="00F963E9">
        <w:t>652</w:t>
      </w:r>
      <w:r w:rsidRPr="004D022D">
        <w:t>-П «Положение о порядке расчета размера операционного риска» участвует в расчете норматива Н</w:t>
      </w:r>
      <w:proofErr w:type="gramStart"/>
      <w:r w:rsidRPr="004D022D">
        <w:t>1</w:t>
      </w:r>
      <w:proofErr w:type="gramEnd"/>
      <w:r w:rsidRPr="004D022D">
        <w:t xml:space="preserve"> «Норматив достаточности капитала» (код 8942). </w:t>
      </w:r>
    </w:p>
    <w:p w:rsidR="00D0715A" w:rsidRPr="004D022D" w:rsidRDefault="00D0715A" w:rsidP="004D022D">
      <w:pPr>
        <w:keepNext/>
        <w:spacing w:before="240" w:after="60"/>
        <w:ind w:firstLine="567"/>
        <w:outlineLvl w:val="2"/>
        <w:rPr>
          <w:sz w:val="24"/>
          <w:szCs w:val="24"/>
        </w:rPr>
      </w:pPr>
      <w:r w:rsidRPr="004D022D">
        <w:rPr>
          <w:sz w:val="24"/>
          <w:szCs w:val="24"/>
        </w:rPr>
        <w:t>Размер операционного риска, рассчитанный с учетом данных отчетности за 201</w:t>
      </w:r>
      <w:r w:rsidR="00D53A5C">
        <w:rPr>
          <w:sz w:val="24"/>
          <w:szCs w:val="24"/>
        </w:rPr>
        <w:t>8</w:t>
      </w:r>
      <w:r w:rsidRPr="004D022D">
        <w:rPr>
          <w:sz w:val="24"/>
          <w:szCs w:val="24"/>
        </w:rPr>
        <w:t xml:space="preserve"> год, составляет </w:t>
      </w:r>
      <w:r w:rsidR="00544165">
        <w:rPr>
          <w:sz w:val="24"/>
          <w:szCs w:val="24"/>
        </w:rPr>
        <w:t>7385</w:t>
      </w:r>
      <w:r w:rsidRPr="004D022D">
        <w:rPr>
          <w:sz w:val="24"/>
          <w:szCs w:val="24"/>
        </w:rPr>
        <w:t xml:space="preserve">.  </w:t>
      </w:r>
    </w:p>
    <w:p w:rsidR="00D61539" w:rsidRPr="00D61539" w:rsidRDefault="00D61539" w:rsidP="00D0715A">
      <w:pPr>
        <w:keepNext/>
        <w:spacing w:before="240" w:after="60"/>
        <w:jc w:val="center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  <w:r w:rsidRPr="00D61539">
        <w:rPr>
          <w:rFonts w:ascii="Cambria" w:hAnsi="Cambria"/>
          <w:b/>
          <w:bCs/>
          <w:sz w:val="26"/>
          <w:szCs w:val="26"/>
          <w:lang w:eastAsia="en-US"/>
        </w:rPr>
        <w:t>Правовой риск и риск потери деловой репутации</w:t>
      </w:r>
    </w:p>
    <w:p w:rsidR="00D61539" w:rsidRPr="00D61539" w:rsidRDefault="00D61539" w:rsidP="00D61539">
      <w:pPr>
        <w:jc w:val="center"/>
      </w:pPr>
    </w:p>
    <w:p w:rsidR="00D0715A" w:rsidRPr="004D022D" w:rsidRDefault="00D0715A" w:rsidP="00D0715A">
      <w:pPr>
        <w:pStyle w:val="10"/>
        <w:ind w:left="0"/>
      </w:pPr>
      <w:r w:rsidRPr="004D022D">
        <w:t>Выявление и оценка правового риска и риска потери деловой репутации осуществляется Банком с учетом рекомендаций Банка России, изложенных в</w:t>
      </w:r>
      <w:r w:rsidR="005372B6" w:rsidRPr="004D022D">
        <w:t xml:space="preserve"> Письме от 30.06.2005г. № 92-Т (с изм. от 12.10.2016) "Об организации управления правовым риском и риском потери деловой репутации в кредитных организациях и банковских группах"</w:t>
      </w:r>
    </w:p>
    <w:p w:rsidR="00D0715A" w:rsidRPr="004D022D" w:rsidRDefault="00D0715A" w:rsidP="00D0715A">
      <w:pPr>
        <w:pStyle w:val="10"/>
        <w:ind w:left="0"/>
      </w:pPr>
      <w:r w:rsidRPr="004D022D">
        <w:t>На регулярной основе Банк проводит мониторинг факторов возникновения правового и репутационного рисков. Оценка рисков проводится по направлениям деятельности Банка.</w:t>
      </w:r>
    </w:p>
    <w:p w:rsidR="00D61539" w:rsidRPr="004D022D" w:rsidRDefault="00D0715A" w:rsidP="00D0715A">
      <w:pPr>
        <w:pStyle w:val="10"/>
        <w:ind w:left="0"/>
      </w:pPr>
      <w:r w:rsidRPr="004D022D">
        <w:t xml:space="preserve">Информация о </w:t>
      </w:r>
      <w:proofErr w:type="gramStart"/>
      <w:r w:rsidRPr="004D022D">
        <w:t>фактах, оказывающих влияние на уровень рисков доводится</w:t>
      </w:r>
      <w:proofErr w:type="gramEnd"/>
      <w:r w:rsidRPr="004D022D">
        <w:t xml:space="preserve"> до органов управления Банка.</w:t>
      </w:r>
    </w:p>
    <w:p w:rsidR="00D61539" w:rsidRPr="004D022D" w:rsidRDefault="006D3F46" w:rsidP="006D3F46">
      <w:pPr>
        <w:ind w:firstLine="426"/>
        <w:rPr>
          <w:sz w:val="24"/>
          <w:szCs w:val="24"/>
        </w:rPr>
      </w:pPr>
      <w:r w:rsidRPr="004D022D">
        <w:rPr>
          <w:sz w:val="24"/>
          <w:szCs w:val="24"/>
        </w:rPr>
        <w:t>В отчётном периоде отсутствовали дивиденды, признанные в качестве выплат в пол</w:t>
      </w:r>
      <w:r w:rsidR="00685E93" w:rsidRPr="004D022D">
        <w:rPr>
          <w:sz w:val="24"/>
          <w:szCs w:val="24"/>
        </w:rPr>
        <w:t>ь</w:t>
      </w:r>
      <w:r w:rsidRPr="004D022D">
        <w:rPr>
          <w:sz w:val="24"/>
          <w:szCs w:val="24"/>
        </w:rPr>
        <w:t>зу участников Банка.</w:t>
      </w:r>
    </w:p>
    <w:p w:rsidR="001A6A82" w:rsidRDefault="001A6A82" w:rsidP="001A6A82">
      <w:pPr>
        <w:ind w:left="709"/>
        <w:jc w:val="both"/>
        <w:rPr>
          <w:sz w:val="24"/>
        </w:rPr>
      </w:pPr>
    </w:p>
    <w:p w:rsidR="00ED28C9" w:rsidRPr="00C04C8E" w:rsidRDefault="00ED28C9">
      <w:pPr>
        <w:jc w:val="both"/>
      </w:pPr>
    </w:p>
    <w:p w:rsidR="0084494E" w:rsidRPr="00FF1613" w:rsidRDefault="0084494E" w:rsidP="0084494E">
      <w:pPr>
        <w:widowControl w:val="0"/>
        <w:autoSpaceDE w:val="0"/>
        <w:autoSpaceDN w:val="0"/>
        <w:adjustRightInd w:val="0"/>
        <w:jc w:val="center"/>
        <w:rPr>
          <w:rFonts w:ascii="Cambria" w:hAnsi="Cambria" w:cs="Arial CYR"/>
          <w:b/>
          <w:sz w:val="26"/>
          <w:szCs w:val="26"/>
        </w:rPr>
      </w:pPr>
      <w:r w:rsidRPr="00FF1613">
        <w:rPr>
          <w:rFonts w:ascii="Cambria" w:hAnsi="Cambria" w:cs="Arial CYR"/>
          <w:b/>
          <w:sz w:val="26"/>
          <w:szCs w:val="26"/>
        </w:rPr>
        <w:t>Информация об операциях с контрагентами-нерезидентами</w:t>
      </w:r>
    </w:p>
    <w:p w:rsidR="0084494E" w:rsidRDefault="0084494E" w:rsidP="0084494E">
      <w:pPr>
        <w:widowControl w:val="0"/>
        <w:autoSpaceDE w:val="0"/>
        <w:autoSpaceDN w:val="0"/>
        <w:adjustRightInd w:val="0"/>
        <w:jc w:val="both"/>
        <w:rPr>
          <w:rFonts w:ascii="Arial CYR" w:hAnsi="Arial CYR" w:cs="Arial CYR"/>
          <w:sz w:val="16"/>
          <w:szCs w:val="16"/>
        </w:rPr>
      </w:pPr>
    </w:p>
    <w:p w:rsidR="0084494E" w:rsidRDefault="0084494E" w:rsidP="0084494E">
      <w:pPr>
        <w:widowControl w:val="0"/>
        <w:autoSpaceDE w:val="0"/>
        <w:autoSpaceDN w:val="0"/>
        <w:adjustRightInd w:val="0"/>
        <w:jc w:val="right"/>
        <w:rPr>
          <w:rFonts w:ascii="Arial CYR" w:hAnsi="Arial CYR" w:cs="Arial CYR"/>
          <w:sz w:val="16"/>
          <w:szCs w:val="16"/>
        </w:rPr>
      </w:pPr>
      <w:r>
        <w:rPr>
          <w:rFonts w:ascii="Arial CYR" w:hAnsi="Arial CYR" w:cs="Arial CYR"/>
          <w:sz w:val="16"/>
          <w:szCs w:val="16"/>
        </w:rPr>
        <w:t>тыс. рублей</w:t>
      </w:r>
    </w:p>
    <w:tbl>
      <w:tblPr>
        <w:tblW w:w="91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3"/>
        <w:gridCol w:w="5413"/>
        <w:gridCol w:w="1537"/>
        <w:gridCol w:w="1538"/>
      </w:tblGrid>
      <w:tr w:rsidR="0084494E" w:rsidTr="0084494E">
        <w:trPr>
          <w:trHeight w:val="93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 xml:space="preserve">Номер </w:t>
            </w:r>
            <w:proofErr w:type="gramStart"/>
            <w:r w:rsidRPr="0084494E">
              <w:t>п</w:t>
            </w:r>
            <w:proofErr w:type="gramEnd"/>
            <w:r w:rsidRPr="0084494E">
              <w:t>/п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Наименование показателя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Данные на отчетную дату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Данные на начало отчетного года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  <w:jc w:val="center"/>
            </w:pPr>
            <w:r w:rsidRPr="0084494E"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  <w:jc w:val="center"/>
            </w:pPr>
            <w:r w:rsidRPr="0084494E"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  <w:jc w:val="center"/>
            </w:pPr>
            <w:r w:rsidRPr="0084494E">
              <w:t>4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Средства на корреспондентских счетах в банках-нерезидентах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6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Ссуды, предоставленные контрагентам-нерезидентам, всего,</w:t>
            </w:r>
          </w:p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в том числе: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2.1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банкам-нерезидентам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61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2.2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юридическим лицам - нерезидентам, не являющимся кредитными организациями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lastRenderedPageBreak/>
              <w:t>2.3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физическим лицам - нерезидентам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6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3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Долговые ценные бумаги эмитентов-нерезидентов, всего,</w:t>
            </w:r>
          </w:p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в том числе: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3.1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proofErr w:type="gramStart"/>
            <w:r w:rsidRPr="0084494E">
              <w:t>имеющих</w:t>
            </w:r>
            <w:proofErr w:type="gramEnd"/>
            <w:r w:rsidRPr="0084494E">
              <w:t xml:space="preserve"> рейтинги долгосрочной кредитоспособности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3.2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не имеющих рейтингов долгосрочной кредитоспособности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610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4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Средства нерезидентов, всего,</w:t>
            </w:r>
          </w:p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в том числе: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31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4.1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банков-нерезидентов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6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4.2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юридических лиц - нерезидентов, не являющихся кредитными организациями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  <w:tr w:rsidR="0084494E" w:rsidTr="0084494E">
        <w:trPr>
          <w:trHeight w:val="3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4.3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84494E">
            <w:pPr>
              <w:autoSpaceDE w:val="0"/>
              <w:autoSpaceDN w:val="0"/>
              <w:adjustRightInd w:val="0"/>
            </w:pPr>
            <w:r w:rsidRPr="0084494E">
              <w:t>физических лиц - нерезидентов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4E" w:rsidRPr="0084494E" w:rsidRDefault="0084494E" w:rsidP="00B20D57">
            <w:pPr>
              <w:autoSpaceDE w:val="0"/>
              <w:autoSpaceDN w:val="0"/>
              <w:adjustRightInd w:val="0"/>
              <w:jc w:val="center"/>
            </w:pPr>
            <w:r w:rsidRPr="0084494E">
              <w:t>0</w:t>
            </w:r>
          </w:p>
        </w:tc>
      </w:tr>
    </w:tbl>
    <w:p w:rsidR="0084494E" w:rsidRDefault="0084494E">
      <w:pPr>
        <w:jc w:val="both"/>
        <w:rPr>
          <w:sz w:val="24"/>
          <w:lang w:val="en-US"/>
        </w:rPr>
      </w:pPr>
    </w:p>
    <w:p w:rsidR="0084494E" w:rsidRPr="00A25A12" w:rsidRDefault="0084494E">
      <w:pPr>
        <w:jc w:val="both"/>
        <w:rPr>
          <w:sz w:val="24"/>
          <w:szCs w:val="24"/>
        </w:rPr>
      </w:pPr>
      <w:r w:rsidRPr="00A25A12">
        <w:rPr>
          <w:sz w:val="24"/>
          <w:szCs w:val="24"/>
        </w:rPr>
        <w:t>Банк не проводит операции с контрагентами-нерезидентами</w:t>
      </w:r>
      <w:r w:rsidR="00EB6C2B">
        <w:rPr>
          <w:sz w:val="24"/>
          <w:szCs w:val="24"/>
        </w:rPr>
        <w:t>.</w:t>
      </w:r>
    </w:p>
    <w:p w:rsidR="0084494E" w:rsidRPr="0084494E" w:rsidRDefault="0084494E">
      <w:pPr>
        <w:jc w:val="both"/>
        <w:rPr>
          <w:sz w:val="24"/>
        </w:rPr>
      </w:pPr>
    </w:p>
    <w:p w:rsidR="0084494E" w:rsidRDefault="0084494E">
      <w:pPr>
        <w:jc w:val="both"/>
        <w:rPr>
          <w:sz w:val="24"/>
        </w:rPr>
      </w:pPr>
    </w:p>
    <w:p w:rsidR="00DB1A67" w:rsidRDefault="00DB1A67">
      <w:pPr>
        <w:jc w:val="both"/>
        <w:rPr>
          <w:sz w:val="24"/>
        </w:rPr>
      </w:pPr>
    </w:p>
    <w:p w:rsidR="00DB1A67" w:rsidRDefault="00DB1A67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>Председатель Правления                                                                Колесов А.И.</w:t>
      </w: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 xml:space="preserve">Главный бухгалтер                                                                          </w:t>
      </w:r>
      <w:r w:rsidR="00963094">
        <w:rPr>
          <w:sz w:val="24"/>
        </w:rPr>
        <w:t>Шишков</w:t>
      </w:r>
      <w:r>
        <w:rPr>
          <w:sz w:val="24"/>
        </w:rPr>
        <w:t xml:space="preserve"> </w:t>
      </w:r>
      <w:r w:rsidR="00963094">
        <w:rPr>
          <w:sz w:val="24"/>
        </w:rPr>
        <w:t>Д</w:t>
      </w:r>
      <w:r>
        <w:rPr>
          <w:sz w:val="24"/>
        </w:rPr>
        <w:t>.</w:t>
      </w:r>
      <w:r w:rsidR="00963094">
        <w:rPr>
          <w:sz w:val="24"/>
        </w:rPr>
        <w:t>Ю</w:t>
      </w:r>
      <w:r>
        <w:rPr>
          <w:sz w:val="24"/>
        </w:rPr>
        <w:t>.</w:t>
      </w:r>
    </w:p>
    <w:p w:rsidR="00ED28C9" w:rsidRDefault="00ED28C9">
      <w:pPr>
        <w:jc w:val="both"/>
        <w:rPr>
          <w:sz w:val="24"/>
        </w:rPr>
      </w:pPr>
    </w:p>
    <w:p w:rsidR="00ED28C9" w:rsidRDefault="00632A8B">
      <w:pPr>
        <w:jc w:val="both"/>
        <w:rPr>
          <w:sz w:val="24"/>
        </w:rPr>
      </w:pPr>
      <w:r>
        <w:rPr>
          <w:sz w:val="24"/>
        </w:rPr>
        <w:t>1</w:t>
      </w:r>
      <w:r w:rsidR="00A60EE7">
        <w:rPr>
          <w:sz w:val="24"/>
        </w:rPr>
        <w:t>6</w:t>
      </w:r>
      <w:r w:rsidR="00ED28C9">
        <w:rPr>
          <w:sz w:val="24"/>
        </w:rPr>
        <w:t xml:space="preserve"> </w:t>
      </w:r>
      <w:r>
        <w:rPr>
          <w:sz w:val="24"/>
        </w:rPr>
        <w:t>мая</w:t>
      </w:r>
      <w:r w:rsidR="00BF37A6">
        <w:rPr>
          <w:sz w:val="24"/>
        </w:rPr>
        <w:t xml:space="preserve"> 20</w:t>
      </w:r>
      <w:r w:rsidR="00F239A6">
        <w:rPr>
          <w:sz w:val="24"/>
        </w:rPr>
        <w:t>1</w:t>
      </w:r>
      <w:r>
        <w:rPr>
          <w:sz w:val="24"/>
        </w:rPr>
        <w:t>9</w:t>
      </w:r>
      <w:r w:rsidR="00ED28C9">
        <w:rPr>
          <w:sz w:val="24"/>
        </w:rPr>
        <w:t xml:space="preserve"> г.</w:t>
      </w:r>
      <w:bookmarkStart w:id="0" w:name="_GoBack"/>
      <w:bookmarkEnd w:id="0"/>
    </w:p>
    <w:sectPr w:rsidR="00ED28C9" w:rsidSect="00FF1613">
      <w:pgSz w:w="11906" w:h="16838"/>
      <w:pgMar w:top="1135" w:right="991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BD7" w:rsidRDefault="00367BD7">
      <w:r>
        <w:separator/>
      </w:r>
    </w:p>
  </w:endnote>
  <w:endnote w:type="continuationSeparator" w:id="0">
    <w:p w:rsidR="00367BD7" w:rsidRDefault="003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BD7" w:rsidRDefault="00367BD7">
      <w:r>
        <w:separator/>
      </w:r>
    </w:p>
  </w:footnote>
  <w:footnote w:type="continuationSeparator" w:id="0">
    <w:p w:rsidR="00367BD7" w:rsidRDefault="00367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838"/>
    <w:multiLevelType w:val="hybridMultilevel"/>
    <w:tmpl w:val="2DE4EA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574D32"/>
    <w:multiLevelType w:val="singleLevel"/>
    <w:tmpl w:val="8168DF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6107389"/>
    <w:multiLevelType w:val="hybridMultilevel"/>
    <w:tmpl w:val="B6928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D61CD1"/>
    <w:multiLevelType w:val="hybridMultilevel"/>
    <w:tmpl w:val="DC66B4CE"/>
    <w:lvl w:ilvl="0" w:tplc="F188ACC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A0898"/>
    <w:multiLevelType w:val="hybridMultilevel"/>
    <w:tmpl w:val="B5CA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47D63"/>
    <w:multiLevelType w:val="hybridMultilevel"/>
    <w:tmpl w:val="2DD0E2A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F16D33"/>
    <w:multiLevelType w:val="hybridMultilevel"/>
    <w:tmpl w:val="310CFC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ED38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42430FB"/>
    <w:multiLevelType w:val="hybridMultilevel"/>
    <w:tmpl w:val="71F4323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9945EBE"/>
    <w:multiLevelType w:val="hybridMultilevel"/>
    <w:tmpl w:val="F454E0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3FF09CA"/>
    <w:multiLevelType w:val="hybridMultilevel"/>
    <w:tmpl w:val="86C829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659267E0"/>
    <w:multiLevelType w:val="hybridMultilevel"/>
    <w:tmpl w:val="95E62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D5BCB"/>
    <w:multiLevelType w:val="hybridMultilevel"/>
    <w:tmpl w:val="8CA2A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A6"/>
    <w:rsid w:val="00001B8B"/>
    <w:rsid w:val="0000289D"/>
    <w:rsid w:val="00015AA4"/>
    <w:rsid w:val="00020483"/>
    <w:rsid w:val="0002229A"/>
    <w:rsid w:val="00052E60"/>
    <w:rsid w:val="00054D95"/>
    <w:rsid w:val="00080960"/>
    <w:rsid w:val="000846E6"/>
    <w:rsid w:val="000A2D11"/>
    <w:rsid w:val="000B1A17"/>
    <w:rsid w:val="000B62AE"/>
    <w:rsid w:val="000C5C44"/>
    <w:rsid w:val="000E0D8C"/>
    <w:rsid w:val="000E267E"/>
    <w:rsid w:val="000E3AAA"/>
    <w:rsid w:val="00100231"/>
    <w:rsid w:val="00102910"/>
    <w:rsid w:val="00102B9C"/>
    <w:rsid w:val="00106445"/>
    <w:rsid w:val="00114EC8"/>
    <w:rsid w:val="00117E4B"/>
    <w:rsid w:val="001222F1"/>
    <w:rsid w:val="00146025"/>
    <w:rsid w:val="00146821"/>
    <w:rsid w:val="001505A1"/>
    <w:rsid w:val="00177A94"/>
    <w:rsid w:val="00180427"/>
    <w:rsid w:val="00187507"/>
    <w:rsid w:val="001922BC"/>
    <w:rsid w:val="001A422A"/>
    <w:rsid w:val="001A6A82"/>
    <w:rsid w:val="001B31D8"/>
    <w:rsid w:val="001B3631"/>
    <w:rsid w:val="001C476C"/>
    <w:rsid w:val="001D1AC5"/>
    <w:rsid w:val="001E4054"/>
    <w:rsid w:val="001E41A4"/>
    <w:rsid w:val="001E6457"/>
    <w:rsid w:val="001F6803"/>
    <w:rsid w:val="00203B0E"/>
    <w:rsid w:val="00225AE1"/>
    <w:rsid w:val="00230600"/>
    <w:rsid w:val="002408FD"/>
    <w:rsid w:val="00264BE3"/>
    <w:rsid w:val="00272DEB"/>
    <w:rsid w:val="00276A29"/>
    <w:rsid w:val="00280E07"/>
    <w:rsid w:val="002839A7"/>
    <w:rsid w:val="002845E3"/>
    <w:rsid w:val="002A5E9A"/>
    <w:rsid w:val="002D1C1E"/>
    <w:rsid w:val="002D28C5"/>
    <w:rsid w:val="002D7B03"/>
    <w:rsid w:val="002E08E0"/>
    <w:rsid w:val="002E15F2"/>
    <w:rsid w:val="002E3819"/>
    <w:rsid w:val="002E7450"/>
    <w:rsid w:val="002F0D5B"/>
    <w:rsid w:val="002F53FC"/>
    <w:rsid w:val="003159D6"/>
    <w:rsid w:val="00325452"/>
    <w:rsid w:val="00333B99"/>
    <w:rsid w:val="003424CB"/>
    <w:rsid w:val="003438F1"/>
    <w:rsid w:val="00347CD9"/>
    <w:rsid w:val="00363E8D"/>
    <w:rsid w:val="00367BD7"/>
    <w:rsid w:val="00373F36"/>
    <w:rsid w:val="00397E97"/>
    <w:rsid w:val="003A4E45"/>
    <w:rsid w:val="003A5E77"/>
    <w:rsid w:val="003B5D19"/>
    <w:rsid w:val="003C16C1"/>
    <w:rsid w:val="003C5E29"/>
    <w:rsid w:val="003D13B0"/>
    <w:rsid w:val="003D2EF2"/>
    <w:rsid w:val="003E374B"/>
    <w:rsid w:val="003E3E34"/>
    <w:rsid w:val="003E4305"/>
    <w:rsid w:val="003E662A"/>
    <w:rsid w:val="003F21C0"/>
    <w:rsid w:val="003F78FE"/>
    <w:rsid w:val="004060F0"/>
    <w:rsid w:val="004108ED"/>
    <w:rsid w:val="00410CCD"/>
    <w:rsid w:val="0041170C"/>
    <w:rsid w:val="004147FC"/>
    <w:rsid w:val="00415689"/>
    <w:rsid w:val="00425345"/>
    <w:rsid w:val="0043583F"/>
    <w:rsid w:val="00437929"/>
    <w:rsid w:val="0044107E"/>
    <w:rsid w:val="00447832"/>
    <w:rsid w:val="00454584"/>
    <w:rsid w:val="004713C7"/>
    <w:rsid w:val="00475695"/>
    <w:rsid w:val="004905CE"/>
    <w:rsid w:val="0049624D"/>
    <w:rsid w:val="004A1DFF"/>
    <w:rsid w:val="004A41BF"/>
    <w:rsid w:val="004B00D4"/>
    <w:rsid w:val="004B7104"/>
    <w:rsid w:val="004C0264"/>
    <w:rsid w:val="004C17C6"/>
    <w:rsid w:val="004D022D"/>
    <w:rsid w:val="004D07D9"/>
    <w:rsid w:val="004D716F"/>
    <w:rsid w:val="004E1C3F"/>
    <w:rsid w:val="00505F70"/>
    <w:rsid w:val="0050764B"/>
    <w:rsid w:val="005179D8"/>
    <w:rsid w:val="0052707D"/>
    <w:rsid w:val="005319AD"/>
    <w:rsid w:val="005372B6"/>
    <w:rsid w:val="00544165"/>
    <w:rsid w:val="00544ED7"/>
    <w:rsid w:val="0054598F"/>
    <w:rsid w:val="005518E1"/>
    <w:rsid w:val="00554937"/>
    <w:rsid w:val="00556353"/>
    <w:rsid w:val="00572BCD"/>
    <w:rsid w:val="005754F6"/>
    <w:rsid w:val="005A1EB3"/>
    <w:rsid w:val="005A5346"/>
    <w:rsid w:val="005B3F1A"/>
    <w:rsid w:val="005C25B3"/>
    <w:rsid w:val="005D0658"/>
    <w:rsid w:val="005D2F13"/>
    <w:rsid w:val="005E0975"/>
    <w:rsid w:val="00622A22"/>
    <w:rsid w:val="0062589A"/>
    <w:rsid w:val="006272CE"/>
    <w:rsid w:val="0063036C"/>
    <w:rsid w:val="00632A8B"/>
    <w:rsid w:val="006463D4"/>
    <w:rsid w:val="00654A2E"/>
    <w:rsid w:val="0065649E"/>
    <w:rsid w:val="0066219F"/>
    <w:rsid w:val="006652EB"/>
    <w:rsid w:val="00671BE0"/>
    <w:rsid w:val="006820B4"/>
    <w:rsid w:val="00685E93"/>
    <w:rsid w:val="006A2138"/>
    <w:rsid w:val="006A5EFD"/>
    <w:rsid w:val="006A73DA"/>
    <w:rsid w:val="006B1796"/>
    <w:rsid w:val="006B2CC1"/>
    <w:rsid w:val="006C4761"/>
    <w:rsid w:val="006C4824"/>
    <w:rsid w:val="006C6AF3"/>
    <w:rsid w:val="006C6BD3"/>
    <w:rsid w:val="006D1B31"/>
    <w:rsid w:val="006D3F46"/>
    <w:rsid w:val="006E180C"/>
    <w:rsid w:val="006F4E8A"/>
    <w:rsid w:val="007000AC"/>
    <w:rsid w:val="00712F20"/>
    <w:rsid w:val="007148B3"/>
    <w:rsid w:val="00716359"/>
    <w:rsid w:val="00727CBA"/>
    <w:rsid w:val="007313C1"/>
    <w:rsid w:val="0073578A"/>
    <w:rsid w:val="00735F8F"/>
    <w:rsid w:val="00743333"/>
    <w:rsid w:val="00744AE6"/>
    <w:rsid w:val="00760C44"/>
    <w:rsid w:val="007615C9"/>
    <w:rsid w:val="00761B23"/>
    <w:rsid w:val="007623CD"/>
    <w:rsid w:val="007A1B36"/>
    <w:rsid w:val="007A585B"/>
    <w:rsid w:val="007B3974"/>
    <w:rsid w:val="007C5E6E"/>
    <w:rsid w:val="007F7BBC"/>
    <w:rsid w:val="00804EC9"/>
    <w:rsid w:val="00813319"/>
    <w:rsid w:val="00814171"/>
    <w:rsid w:val="00820919"/>
    <w:rsid w:val="00820D77"/>
    <w:rsid w:val="00821BD4"/>
    <w:rsid w:val="00832486"/>
    <w:rsid w:val="008375FC"/>
    <w:rsid w:val="0084494E"/>
    <w:rsid w:val="00855FA4"/>
    <w:rsid w:val="00881425"/>
    <w:rsid w:val="00886530"/>
    <w:rsid w:val="00887551"/>
    <w:rsid w:val="00893B74"/>
    <w:rsid w:val="00897D6C"/>
    <w:rsid w:val="008A3CD9"/>
    <w:rsid w:val="008A721E"/>
    <w:rsid w:val="008B0A89"/>
    <w:rsid w:val="008C4CBD"/>
    <w:rsid w:val="008D038B"/>
    <w:rsid w:val="008F1730"/>
    <w:rsid w:val="008F4C9A"/>
    <w:rsid w:val="00901A90"/>
    <w:rsid w:val="00903850"/>
    <w:rsid w:val="00926DD8"/>
    <w:rsid w:val="009433F8"/>
    <w:rsid w:val="00944A29"/>
    <w:rsid w:val="00952A63"/>
    <w:rsid w:val="009556D4"/>
    <w:rsid w:val="00963094"/>
    <w:rsid w:val="00965928"/>
    <w:rsid w:val="009703F3"/>
    <w:rsid w:val="00982FBD"/>
    <w:rsid w:val="0098433F"/>
    <w:rsid w:val="009A0B8E"/>
    <w:rsid w:val="009A5A2E"/>
    <w:rsid w:val="009C0299"/>
    <w:rsid w:val="009D53FE"/>
    <w:rsid w:val="009E7CB9"/>
    <w:rsid w:val="009F6612"/>
    <w:rsid w:val="00A006AC"/>
    <w:rsid w:val="00A038BD"/>
    <w:rsid w:val="00A03EB6"/>
    <w:rsid w:val="00A06211"/>
    <w:rsid w:val="00A06461"/>
    <w:rsid w:val="00A079CD"/>
    <w:rsid w:val="00A24E58"/>
    <w:rsid w:val="00A25A12"/>
    <w:rsid w:val="00A26370"/>
    <w:rsid w:val="00A342C3"/>
    <w:rsid w:val="00A414FA"/>
    <w:rsid w:val="00A424CA"/>
    <w:rsid w:val="00A43762"/>
    <w:rsid w:val="00A60EE7"/>
    <w:rsid w:val="00A67AB9"/>
    <w:rsid w:val="00A710E1"/>
    <w:rsid w:val="00A8529D"/>
    <w:rsid w:val="00A95E14"/>
    <w:rsid w:val="00AE1453"/>
    <w:rsid w:val="00AE53A9"/>
    <w:rsid w:val="00AE79BD"/>
    <w:rsid w:val="00AF11BA"/>
    <w:rsid w:val="00B016E0"/>
    <w:rsid w:val="00B07CEE"/>
    <w:rsid w:val="00B1035A"/>
    <w:rsid w:val="00B20D57"/>
    <w:rsid w:val="00B23C9D"/>
    <w:rsid w:val="00B26371"/>
    <w:rsid w:val="00B55639"/>
    <w:rsid w:val="00B865B0"/>
    <w:rsid w:val="00B86ACC"/>
    <w:rsid w:val="00B9454F"/>
    <w:rsid w:val="00B94DD1"/>
    <w:rsid w:val="00BA10D0"/>
    <w:rsid w:val="00BA5270"/>
    <w:rsid w:val="00BB1FEE"/>
    <w:rsid w:val="00BB20DD"/>
    <w:rsid w:val="00BB2B61"/>
    <w:rsid w:val="00BB6FFF"/>
    <w:rsid w:val="00BB7B4E"/>
    <w:rsid w:val="00BC4CC3"/>
    <w:rsid w:val="00BC4D9C"/>
    <w:rsid w:val="00BC69EA"/>
    <w:rsid w:val="00BC6E14"/>
    <w:rsid w:val="00BD093E"/>
    <w:rsid w:val="00BD2268"/>
    <w:rsid w:val="00BE2376"/>
    <w:rsid w:val="00BE3DB7"/>
    <w:rsid w:val="00BF37A6"/>
    <w:rsid w:val="00BF51A9"/>
    <w:rsid w:val="00C000E7"/>
    <w:rsid w:val="00C02488"/>
    <w:rsid w:val="00C04C8E"/>
    <w:rsid w:val="00C10F81"/>
    <w:rsid w:val="00C129B4"/>
    <w:rsid w:val="00C16B8B"/>
    <w:rsid w:val="00C23BB6"/>
    <w:rsid w:val="00C31B20"/>
    <w:rsid w:val="00C46F86"/>
    <w:rsid w:val="00C55CA1"/>
    <w:rsid w:val="00C571F1"/>
    <w:rsid w:val="00C573E1"/>
    <w:rsid w:val="00C57DDC"/>
    <w:rsid w:val="00C8230D"/>
    <w:rsid w:val="00C87889"/>
    <w:rsid w:val="00CB033C"/>
    <w:rsid w:val="00CB117D"/>
    <w:rsid w:val="00CC1E14"/>
    <w:rsid w:val="00CD5E3B"/>
    <w:rsid w:val="00CE4470"/>
    <w:rsid w:val="00CF4109"/>
    <w:rsid w:val="00CF53C0"/>
    <w:rsid w:val="00D01A64"/>
    <w:rsid w:val="00D06FD9"/>
    <w:rsid w:val="00D0715A"/>
    <w:rsid w:val="00D11D87"/>
    <w:rsid w:val="00D236EC"/>
    <w:rsid w:val="00D3589D"/>
    <w:rsid w:val="00D44241"/>
    <w:rsid w:val="00D44AA9"/>
    <w:rsid w:val="00D45AE9"/>
    <w:rsid w:val="00D472ED"/>
    <w:rsid w:val="00D5007E"/>
    <w:rsid w:val="00D5390D"/>
    <w:rsid w:val="00D53A5C"/>
    <w:rsid w:val="00D5485F"/>
    <w:rsid w:val="00D61539"/>
    <w:rsid w:val="00D7218A"/>
    <w:rsid w:val="00D750A3"/>
    <w:rsid w:val="00D807D1"/>
    <w:rsid w:val="00D846EA"/>
    <w:rsid w:val="00D907EE"/>
    <w:rsid w:val="00D95076"/>
    <w:rsid w:val="00DA392F"/>
    <w:rsid w:val="00DB1A67"/>
    <w:rsid w:val="00DC1801"/>
    <w:rsid w:val="00DC1B75"/>
    <w:rsid w:val="00DC751D"/>
    <w:rsid w:val="00DD21C3"/>
    <w:rsid w:val="00DD7ECB"/>
    <w:rsid w:val="00DE4391"/>
    <w:rsid w:val="00DF5700"/>
    <w:rsid w:val="00E03640"/>
    <w:rsid w:val="00E2499C"/>
    <w:rsid w:val="00E47DDD"/>
    <w:rsid w:val="00E618F1"/>
    <w:rsid w:val="00E63E0D"/>
    <w:rsid w:val="00E65A0C"/>
    <w:rsid w:val="00E66F44"/>
    <w:rsid w:val="00E7084F"/>
    <w:rsid w:val="00E7623F"/>
    <w:rsid w:val="00E9544C"/>
    <w:rsid w:val="00EA18B4"/>
    <w:rsid w:val="00EA5949"/>
    <w:rsid w:val="00EB2017"/>
    <w:rsid w:val="00EB4466"/>
    <w:rsid w:val="00EB6C2B"/>
    <w:rsid w:val="00EC4696"/>
    <w:rsid w:val="00ED28C9"/>
    <w:rsid w:val="00EE3143"/>
    <w:rsid w:val="00F02A19"/>
    <w:rsid w:val="00F07464"/>
    <w:rsid w:val="00F1642B"/>
    <w:rsid w:val="00F2173A"/>
    <w:rsid w:val="00F239A6"/>
    <w:rsid w:val="00F2621D"/>
    <w:rsid w:val="00F2712A"/>
    <w:rsid w:val="00F322CE"/>
    <w:rsid w:val="00F401D4"/>
    <w:rsid w:val="00F41934"/>
    <w:rsid w:val="00F5387D"/>
    <w:rsid w:val="00F70603"/>
    <w:rsid w:val="00F80609"/>
    <w:rsid w:val="00F92EF4"/>
    <w:rsid w:val="00F94D64"/>
    <w:rsid w:val="00F963E9"/>
    <w:rsid w:val="00FA07D2"/>
    <w:rsid w:val="00FB1785"/>
    <w:rsid w:val="00FB5219"/>
    <w:rsid w:val="00FC16FC"/>
    <w:rsid w:val="00FD1F74"/>
    <w:rsid w:val="00FD603C"/>
    <w:rsid w:val="00FE1327"/>
    <w:rsid w:val="00FF0832"/>
    <w:rsid w:val="00FF1344"/>
    <w:rsid w:val="00FF1613"/>
    <w:rsid w:val="00FF2650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C5E6E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customStyle="1" w:styleId="ConsNormal">
    <w:name w:val="ConsNormal"/>
    <w:rsid w:val="006C6BD3"/>
    <w:pPr>
      <w:widowControl w:val="0"/>
      <w:ind w:right="19772" w:firstLine="720"/>
    </w:pPr>
    <w:rPr>
      <w:rFonts w:ascii="Arial" w:hAnsi="Arial"/>
    </w:rPr>
  </w:style>
  <w:style w:type="table" w:styleId="a5">
    <w:name w:val="Table Grid"/>
    <w:basedOn w:val="a1"/>
    <w:rsid w:val="00D90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8A3CD9"/>
    <w:rPr>
      <w:color w:val="0000FF"/>
      <w:u w:val="single"/>
    </w:rPr>
  </w:style>
  <w:style w:type="paragraph" w:customStyle="1" w:styleId="1">
    <w:name w:val="Абзац списка1"/>
    <w:basedOn w:val="a"/>
    <w:rsid w:val="007C5E6E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30">
    <w:name w:val="Заголовок 3 Знак"/>
    <w:link w:val="3"/>
    <w:locked/>
    <w:rsid w:val="007C5E6E"/>
    <w:rPr>
      <w:rFonts w:ascii="Cambria" w:hAnsi="Cambria"/>
      <w:b/>
      <w:bCs/>
      <w:sz w:val="26"/>
      <w:szCs w:val="26"/>
      <w:lang w:val="ru-RU" w:eastAsia="en-US" w:bidi="ar-SA"/>
    </w:rPr>
  </w:style>
  <w:style w:type="character" w:styleId="a7">
    <w:name w:val="Strong"/>
    <w:qFormat/>
    <w:rsid w:val="001A422A"/>
    <w:rPr>
      <w:rFonts w:cs="Times New Roman"/>
      <w:b/>
      <w:bCs/>
    </w:rPr>
  </w:style>
  <w:style w:type="paragraph" w:styleId="a8">
    <w:name w:val="footnote text"/>
    <w:basedOn w:val="a"/>
    <w:link w:val="a9"/>
    <w:semiHidden/>
    <w:rsid w:val="001A422A"/>
    <w:pPr>
      <w:ind w:firstLine="567"/>
      <w:jc w:val="both"/>
    </w:pPr>
    <w:rPr>
      <w:lang w:eastAsia="en-US"/>
    </w:rPr>
  </w:style>
  <w:style w:type="character" w:customStyle="1" w:styleId="a9">
    <w:name w:val="Текст сноски Знак"/>
    <w:link w:val="a8"/>
    <w:semiHidden/>
    <w:locked/>
    <w:rsid w:val="001A422A"/>
    <w:rPr>
      <w:lang w:val="ru-RU" w:eastAsia="en-US" w:bidi="ar-SA"/>
    </w:rPr>
  </w:style>
  <w:style w:type="character" w:styleId="aa">
    <w:name w:val="footnote reference"/>
    <w:semiHidden/>
    <w:rsid w:val="001A422A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rsid w:val="006463D4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63D4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rsid w:val="00D61539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ac">
    <w:name w:val="Верхний колонтитул Знак"/>
    <w:link w:val="ab"/>
    <w:uiPriority w:val="99"/>
    <w:rsid w:val="00D61539"/>
  </w:style>
  <w:style w:type="paragraph" w:styleId="ae">
    <w:name w:val="Balloon Text"/>
    <w:basedOn w:val="a"/>
    <w:link w:val="af"/>
    <w:rsid w:val="00D6153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D615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C5E6E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customStyle="1" w:styleId="ConsNormal">
    <w:name w:val="ConsNormal"/>
    <w:rsid w:val="006C6BD3"/>
    <w:pPr>
      <w:widowControl w:val="0"/>
      <w:ind w:right="19772" w:firstLine="720"/>
    </w:pPr>
    <w:rPr>
      <w:rFonts w:ascii="Arial" w:hAnsi="Arial"/>
    </w:rPr>
  </w:style>
  <w:style w:type="table" w:styleId="a5">
    <w:name w:val="Table Grid"/>
    <w:basedOn w:val="a1"/>
    <w:rsid w:val="00D90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8A3CD9"/>
    <w:rPr>
      <w:color w:val="0000FF"/>
      <w:u w:val="single"/>
    </w:rPr>
  </w:style>
  <w:style w:type="paragraph" w:customStyle="1" w:styleId="1">
    <w:name w:val="Абзац списка1"/>
    <w:basedOn w:val="a"/>
    <w:rsid w:val="007C5E6E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30">
    <w:name w:val="Заголовок 3 Знак"/>
    <w:link w:val="3"/>
    <w:locked/>
    <w:rsid w:val="007C5E6E"/>
    <w:rPr>
      <w:rFonts w:ascii="Cambria" w:hAnsi="Cambria"/>
      <w:b/>
      <w:bCs/>
      <w:sz w:val="26"/>
      <w:szCs w:val="26"/>
      <w:lang w:val="ru-RU" w:eastAsia="en-US" w:bidi="ar-SA"/>
    </w:rPr>
  </w:style>
  <w:style w:type="character" w:styleId="a7">
    <w:name w:val="Strong"/>
    <w:qFormat/>
    <w:rsid w:val="001A422A"/>
    <w:rPr>
      <w:rFonts w:cs="Times New Roman"/>
      <w:b/>
      <w:bCs/>
    </w:rPr>
  </w:style>
  <w:style w:type="paragraph" w:styleId="a8">
    <w:name w:val="footnote text"/>
    <w:basedOn w:val="a"/>
    <w:link w:val="a9"/>
    <w:semiHidden/>
    <w:rsid w:val="001A422A"/>
    <w:pPr>
      <w:ind w:firstLine="567"/>
      <w:jc w:val="both"/>
    </w:pPr>
    <w:rPr>
      <w:lang w:eastAsia="en-US"/>
    </w:rPr>
  </w:style>
  <w:style w:type="character" w:customStyle="1" w:styleId="a9">
    <w:name w:val="Текст сноски Знак"/>
    <w:link w:val="a8"/>
    <w:semiHidden/>
    <w:locked/>
    <w:rsid w:val="001A422A"/>
    <w:rPr>
      <w:lang w:val="ru-RU" w:eastAsia="en-US" w:bidi="ar-SA"/>
    </w:rPr>
  </w:style>
  <w:style w:type="character" w:styleId="aa">
    <w:name w:val="footnote reference"/>
    <w:semiHidden/>
    <w:rsid w:val="001A422A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rsid w:val="006463D4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63D4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rsid w:val="00D61539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ac">
    <w:name w:val="Верхний колонтитул Знак"/>
    <w:link w:val="ab"/>
    <w:uiPriority w:val="99"/>
    <w:rsid w:val="00D61539"/>
  </w:style>
  <w:style w:type="paragraph" w:styleId="ae">
    <w:name w:val="Balloon Text"/>
    <w:basedOn w:val="a"/>
    <w:link w:val="af"/>
    <w:rsid w:val="00D6153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D61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1495</Words>
  <Characters>10665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ГОДОВОМУ ОТЧЕТУ</vt:lpstr>
    </vt:vector>
  </TitlesOfParts>
  <Company/>
  <LinksUpToDate>false</LinksUpToDate>
  <CharactersWithSpaces>12136</CharactersWithSpaces>
  <SharedDoc>false</SharedDoc>
  <HLinks>
    <vt:vector size="222" baseType="variant">
      <vt:variant>
        <vt:i4>4325469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consultantplus://offline/ref=13F6ABCFDCFF1A73D8C1207AB1C7ED368E71A9361A9E62FE7F739756E0F4C697BEF3F73F6BE986LCo6K</vt:lpwstr>
      </vt:variant>
      <vt:variant>
        <vt:lpwstr/>
      </vt:variant>
      <vt:variant>
        <vt:i4>4325459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consultantplus://offline/ref=13F6ABCFDCFF1A73D8C1207AB1C7ED368E71A9361A9E62FE7F739756E0F4C697BEF3F73F6BE986LCo8K</vt:lpwstr>
      </vt:variant>
      <vt:variant>
        <vt:lpwstr/>
      </vt:variant>
      <vt:variant>
        <vt:i4>4325384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consultantplus://offline/ref=13F6ABCFDCFF1A73D8C1207AB1C7ED368E71A9361A9E62FE7F739756E0F4C697BEF3F73F68E080LCo6K</vt:lpwstr>
      </vt:variant>
      <vt:variant>
        <vt:lpwstr/>
      </vt:variant>
      <vt:variant>
        <vt:i4>4325382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consultantplus://offline/ref=13F6ABCFDCFF1A73D8C1207AB1C7ED368E71A9361A9E62FE7F739756E0F4C697BEF3F73F68E080LCo8K</vt:lpwstr>
      </vt:variant>
      <vt:variant>
        <vt:lpwstr/>
      </vt:variant>
      <vt:variant>
        <vt:i4>4325386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consultantplus://offline/ref=13F6ABCFDCFF1A73D8C1207AB1C7ED368E71A9361A9E62FE7F739756E0F4C697BEF3F73F68E183LCo6K</vt:lpwstr>
      </vt:variant>
      <vt:variant>
        <vt:lpwstr/>
      </vt:variant>
      <vt:variant>
        <vt:i4>4325380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consultantplus://offline/ref=13F6ABCFDCFF1A73D8C1207AB1C7ED368E71A9361A9E62FE7F739756E0F4C697BEF3F73F68E183LCo8K</vt:lpwstr>
      </vt:variant>
      <vt:variant>
        <vt:lpwstr/>
      </vt:variant>
      <vt:variant>
        <vt:i4>4325467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consultantplus://offline/ref=13F6ABCFDCFF1A73D8C1207AB1C7ED368E71A9361A9E62FE7F739756E0F4C697BEF3F73F68EB8CLCoDK</vt:lpwstr>
      </vt:variant>
      <vt:variant>
        <vt:lpwstr/>
      </vt:variant>
      <vt:variant>
        <vt:i4>4325464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consultantplus://offline/ref=13F6ABCFDCFF1A73D8C1207AB1C7ED368E71A9361A9E62FE7F739756E0F4C697BEF3F73F68EB83LCo7K</vt:lpwstr>
      </vt:variant>
      <vt:variant>
        <vt:lpwstr/>
      </vt:variant>
      <vt:variant>
        <vt:i4>4325462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consultantplus://offline/ref=13F6ABCFDCFF1A73D8C1207AB1C7ED368E71A9361A9E62FE7F739756E0F4C697BEF3F73F68EB83LCo9K</vt:lpwstr>
      </vt:variant>
      <vt:variant>
        <vt:lpwstr/>
      </vt:variant>
      <vt:variant>
        <vt:i4>4325387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consultantplus://offline/ref=13F6ABCFDCFF1A73D8C1207AB1C7ED368E71A9361A9E62FE7F739756E0F4C697BEF3F73F68EB83LCoDK</vt:lpwstr>
      </vt:variant>
      <vt:variant>
        <vt:lpwstr/>
      </vt:variant>
      <vt:variant>
        <vt:i4>4325384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consultantplus://offline/ref=13F6ABCFDCFF1A73D8C1207AB1C7ED368E71A9361A9E62FE7F739756E0F4C697BEF3F73F6BE986LCoCK</vt:lpwstr>
      </vt:variant>
      <vt:variant>
        <vt:lpwstr/>
      </vt:variant>
      <vt:variant>
        <vt:i4>4325469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consultantplus://offline/ref=13F6ABCFDCFF1A73D8C1207AB1C7ED368E71A9361A9E62FE7F739756E0F4C697BEF3F73F68E080LCoCK</vt:lpwstr>
      </vt:variant>
      <vt:variant>
        <vt:lpwstr/>
      </vt:variant>
      <vt:variant>
        <vt:i4>4325471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consultantplus://offline/ref=13F6ABCFDCFF1A73D8C1207AB1C7ED368E71A9361A9E62FE7F739756E0F4C697BEF3F73F68E183LCoCK</vt:lpwstr>
      </vt:variant>
      <vt:variant>
        <vt:lpwstr/>
      </vt:variant>
      <vt:variant>
        <vt:i4>4325389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consultantplus://offline/ref=13F6ABCFDCFF1A73D8C1207AB1C7ED368E71A9361A9E62FE7F739756E0F4C697BEF3F73F68EA86LCoDK</vt:lpwstr>
      </vt:variant>
      <vt:variant>
        <vt:lpwstr/>
      </vt:variant>
      <vt:variant>
        <vt:i4>64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P101</vt:lpwstr>
      </vt:variant>
      <vt:variant>
        <vt:i4>3735664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P92</vt:lpwstr>
      </vt:variant>
      <vt:variant>
        <vt:i4>4325385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consultantplus://offline/ref=13F6ABCFDCFF1A73D8C1207AB1C7ED368E71A9361A9E62FE7F739756E0F4C697BEF3F73F68EA85LCoCK</vt:lpwstr>
      </vt:variant>
      <vt:variant>
        <vt:lpwstr/>
      </vt:variant>
      <vt:variant>
        <vt:i4>4325391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consultantplus://offline/ref=13F6ABCFDCFF1A73D8C1207AB1C7ED368E71A9361A9E62FE7F739756E0F4C697BEF3F73F68E18CLCoCK</vt:lpwstr>
      </vt:variant>
      <vt:variant>
        <vt:lpwstr/>
      </vt:variant>
      <vt:variant>
        <vt:i4>4325464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consultantplus://offline/ref=13F6ABCFDCFF1A73D8C1207AB1C7ED368E71A9361A9E62FE7F739756E0F4C697BEF3F73F68E182LCoEK</vt:lpwstr>
      </vt:variant>
      <vt:variant>
        <vt:lpwstr/>
      </vt:variant>
      <vt:variant>
        <vt:i4>4325382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consultantplus://offline/ref=13F6ABCFDCFF1A73D8C1207AB1C7ED368E71A9361A9E62FE7F739756E0F4C697BEF3F73F68EB8CLCo9K</vt:lpwstr>
      </vt:variant>
      <vt:variant>
        <vt:lpwstr/>
      </vt:variant>
      <vt:variant>
        <vt:i4>4325385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consultantplus://offline/ref=13F6ABCFDCFF1A73D8C1207AB1C7ED368E71A9361A9E62FE7F739756E0F4C697BEF3F73F68E081LCo6K</vt:lpwstr>
      </vt:variant>
      <vt:variant>
        <vt:lpwstr/>
      </vt:variant>
      <vt:variant>
        <vt:i4>4325384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consultantplus://offline/ref=13F6ABCFDCFF1A73D8C1207AB1C7ED368E71A9361A9E62FE7F739756E0F4C697BEF3F73F68E181LCo6K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4325382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consultantplus://offline/ref=13F6ABCFDCFF1A73D8C1207AB1C7ED368E71A9361A9E62FE7F739756E0F4C697BEF3F73F68E181LCo8K</vt:lpwstr>
      </vt:variant>
      <vt:variant>
        <vt:lpwstr/>
      </vt:variant>
      <vt:variant>
        <vt:i4>458820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P146</vt:lpwstr>
      </vt:variant>
      <vt:variant>
        <vt:i4>458820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P146</vt:lpwstr>
      </vt:variant>
      <vt:variant>
        <vt:i4>4325384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consultantplus://offline/ref=13F6ABCFDCFF1A73D8C1207AB1C7ED368E71A9361A9E62FE7F739756E0F4C697BEF3F73F68EB8CLCo7K</vt:lpwstr>
      </vt:variant>
      <vt:variant>
        <vt:lpwstr/>
      </vt:variant>
      <vt:variant>
        <vt:i4>4325384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consultantplus://offline/ref=13F6ABCFDCFF1A73D8C1207AB1C7ED368E71A9361A9E62FE7F739756E0F4C697BEF3F73F68E08DLCoBK</vt:lpwstr>
      </vt:variant>
      <vt:variant>
        <vt:lpwstr/>
      </vt:variant>
      <vt:variant>
        <vt:i4>4325388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consultantplus://offline/ref=13F6ABCFDCFF1A73D8C1207AB1C7ED368E71A9361A9E62FE7F739756E0F4C697BEF3F73F68E085LCo7K</vt:lpwstr>
      </vt:variant>
      <vt:variant>
        <vt:lpwstr/>
      </vt:variant>
      <vt:variant>
        <vt:i4>4325384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consultantplus://offline/ref=13F6ABCFDCFF1A73D8C1207AB1C7ED368E71A9361A9E62FE7F739756E0F4C697BEF3F73F68EA84LCoCK</vt:lpwstr>
      </vt:variant>
      <vt:variant>
        <vt:lpwstr/>
      </vt:variant>
      <vt:variant>
        <vt:i4>4325390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consultantplus://offline/ref=13F6ABCFDCFF1A73D8C1207AB1C7ED368E71A9361A9E62FE7F739756E0F4C697BEF3F73F68EA84LCoEK</vt:lpwstr>
      </vt:variant>
      <vt:variant>
        <vt:lpwstr/>
      </vt:variant>
      <vt:variant>
        <vt:i4>4325384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consultantplus://offline/ref=13F6ABCFDCFF1A73D8C1207AB1C7ED368E71A9361A9E62FE7F739756E0F4C697BEF3F73F68E08DLCoBK</vt:lpwstr>
      </vt:variant>
      <vt:variant>
        <vt:lpwstr/>
      </vt:variant>
      <vt:variant>
        <vt:i4>4325465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consultantplus://offline/ref=13F6ABCFDCFF1A73D8C1207AB1C7ED368E71A9361A9E62FE7F739756E0F4C697BEF3F73F68E085LCoBK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consultantplus://offline/ref=13F6ABCFDCFF1A73D8C1207AB1C7ED368E71A9361A9E62FE7F739756E0F4C697BEF3F73F68E185LCoBK</vt:lpwstr>
      </vt:variant>
      <vt:variant>
        <vt:lpwstr/>
      </vt:variant>
      <vt:variant>
        <vt:i4>4325387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consultantplus://offline/ref=13F6ABCFDCFF1A73D8C1207AB1C7ED368E71A9361A9E62FE7F739756E0F4C697BEF3F73F68EA86LCoBK</vt:lpwstr>
      </vt:variant>
      <vt:variant>
        <vt:lpwstr/>
      </vt:variant>
      <vt:variant>
        <vt:i4>4325391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consultantplus://offline/ref=13F6ABCFDCFF1A73D8C1207AB1C7ED368E71A9361A9E62FE7F739756E0F4C697BEF3F73F68EA86LCoFK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ГОДОВОМУ ОТЧЕТУ</dc:title>
  <dc:creator>Васьков С.Н.</dc:creator>
  <cp:lastModifiedBy>Шишков Дмитрий</cp:lastModifiedBy>
  <cp:revision>3</cp:revision>
  <cp:lastPrinted>2019-05-16T12:20:00Z</cp:lastPrinted>
  <dcterms:created xsi:type="dcterms:W3CDTF">2019-05-16T11:44:00Z</dcterms:created>
  <dcterms:modified xsi:type="dcterms:W3CDTF">2019-05-16T12:21:00Z</dcterms:modified>
</cp:coreProperties>
</file>